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Engine Cleaner 423</w:t>
      </w:r>
    </w:p>
    <w:p>
      <w:r>
        <w:t>Produkt: Engine Cleaner 423</w:t>
      </w:r>
    </w:p>
    <w:p/>
    <w:p>
      <w:r>
        <w:t>Skład zgodny z Rozporządzeniem (WE) nr 648/2004:</w:t>
      </w:r>
    </w:p>
    <w:p>
      <w:r>
        <w:t>• Niejonowe środki powierzchniowo czynne: ≥5% – &lt;15%</w:t>
      </w:r>
    </w:p>
    <w:p>
      <w:r>
        <w:t>• Anionowe środki powierzchniowo czynne: &lt;5%</w:t>
      </w:r>
    </w:p>
    <w:p>
      <w:r>
        <w:t>• Kompozycje zapachowe: &lt;5%</w:t>
      </w:r>
    </w:p>
    <w:p>
      <w:r>
        <w:t>• Środki konserwujące: sól sodowa 1‑tlenku pirydyno‑2‑tiolu, Benzisothiazolinone</w:t>
      </w:r>
    </w:p>
    <w:p>
      <w:r>
        <w:t>• Barwnik</w:t>
      </w:r>
    </w:p>
    <w:p/>
    <w:p>
      <w:r>
        <w:t>Główne składniki mieszaniny:</w:t>
      </w:r>
    </w:p>
    <w:p>
      <w:r>
        <w:t>• Isotridecanolethoxylat (7–12 EO): 2,5–10%</w:t>
      </w:r>
    </w:p>
    <w:p>
      <w:r>
        <w:t>• Isotridecanol Ethoxylated (2–6 EO): 2,5–10%</w:t>
      </w:r>
    </w:p>
    <w:p>
      <w:r>
        <w:t>• Alkohole C12–C14 etoksylowane, siarczany, sole sodowe: ≤2,5%</w:t>
      </w:r>
    </w:p>
    <w:p>
      <w:r>
        <w:t>• Sól sodowa 1‑tlenku pirydyno‑2‑tiolu: ≤1%</w:t>
      </w:r>
    </w:p>
    <w:p/>
    <w:p>
      <w:r>
        <w:t>Opracowano na podstawie karty charakterystyki z dnia 17.10.2022.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