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Razor One</w:t>
      </w:r>
    </w:p>
    <w:p>
      <w:r>
        <w:t>Na podstawie sekcji 12.2 karty charakterystyki Razor One.</w:t>
      </w:r>
    </w:p>
    <w:p>
      <w:r>
        <w:t>Środki powierzchniowo czynne zawarte w produkcie są biodegradowalne zgodnie z wymaganiami Rozporządzenia (WE) nr 648/2004 w sprawie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