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Ceramic Wax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Składnik</w:t>
            </w:r>
          </w:p>
        </w:tc>
        <w:tc>
          <w:tcPr>
            <w:tcW w:type="dxa" w:w="2160"/>
          </w:tcPr>
          <w:p>
            <w:r>
              <w:t>CAS</w:t>
            </w:r>
          </w:p>
        </w:tc>
        <w:tc>
          <w:tcPr>
            <w:tcW w:type="dxa" w:w="2160"/>
          </w:tcPr>
          <w:p>
            <w:r>
              <w:t>Zakres stężenia</w:t>
            </w:r>
          </w:p>
        </w:tc>
        <w:tc>
          <w:tcPr>
            <w:tcW w:type="dxa" w:w="2160"/>
          </w:tcPr>
          <w:p>
            <w:r>
              <w:t>Uwagi</w:t>
            </w:r>
          </w:p>
        </w:tc>
      </w:tr>
      <w:tr>
        <w:tc>
          <w:tcPr>
            <w:tcW w:type="dxa" w:w="2160"/>
          </w:tcPr>
          <w:p>
            <w:r>
              <w:t>Propan-2-ol</w:t>
            </w:r>
          </w:p>
        </w:tc>
        <w:tc>
          <w:tcPr>
            <w:tcW w:type="dxa" w:w="2160"/>
          </w:tcPr>
          <w:p>
            <w:r>
              <w:t>67-63-0</w:t>
            </w:r>
          </w:p>
        </w:tc>
        <w:tc>
          <w:tcPr>
            <w:tcW w:type="dxa" w:w="2160"/>
          </w:tcPr>
          <w:p>
            <w:r>
              <w:t>2,5–10%</w:t>
            </w:r>
          </w:p>
        </w:tc>
        <w:tc>
          <w:tcPr>
            <w:tcW w:type="dxa" w:w="2160"/>
          </w:tcPr>
          <w:p>
            <w:r>
              <w:t>Substancja niebezpieczna</w:t>
            </w:r>
          </w:p>
        </w:tc>
      </w:tr>
      <w:tr>
        <w:tc>
          <w:tcPr>
            <w:tcW w:type="dxa" w:w="2160"/>
          </w:tcPr>
          <w:p>
            <w:r>
              <w:t>Pozostałe składniki (woda, dodatki funkcjonalne, polimery, woski)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>
              <w:t>do 100%</w:t>
            </w:r>
          </w:p>
        </w:tc>
        <w:tc>
          <w:tcPr>
            <w:tcW w:type="dxa" w:w="2160"/>
          </w:tcPr>
          <w:p>
            <w:r>
              <w:t>nieujawnione w SDS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