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TURBO ACTIVE</w:t>
      </w:r>
    </w:p>
    <w:p>
      <w:r>
        <w:t>Sporządzono zgodnie z Rozporządzeniem (UE) nr 259/2012.</w:t>
      </w:r>
    </w:p>
    <w:p>
      <w:r>
        <w:t>Skład detergentowy (Rozporządzenie 648/2004/WE):</w:t>
      </w:r>
    </w:p>
    <w:p>
      <w:r>
        <w:t>• anionowe środki powierzchniowo czynne 5–15%</w:t>
      </w:r>
    </w:p>
    <w:p>
      <w:r>
        <w:t>• EDTA i jego sole 5–15%</w:t>
      </w:r>
    </w:p>
    <w:p>
      <w:r>
        <w:t>• niejonowe środki powierzchniowo czynne &lt;5%</w:t>
      </w:r>
    </w:p>
    <w:p>
      <w:r>
        <w:t>• fosfoniany &lt;5%</w:t>
      </w:r>
    </w:p>
    <w:p>
      <w:r>
        <w:t>Główne składniki wg SDS:</w:t>
      </w:r>
    </w:p>
    <w:p>
      <w:r>
        <w:t>• sól sodowa EDTA: 5–10%</w:t>
      </w:r>
    </w:p>
    <w:p>
      <w:r>
        <w:t>• alkohol C12-14 etoksylowany siarczan, sole sodowe: 1–5%</w:t>
      </w:r>
    </w:p>
    <w:p>
      <w:r>
        <w:t>• metakrzemian disodu: 1–5%</w:t>
      </w:r>
    </w:p>
    <w:p>
      <w:r>
        <w:t>• 2-(2-butoksyetoksy)etanol: 1–3%</w:t>
      </w:r>
    </w:p>
    <w:p>
      <w:r>
        <w:t>• D-glukopiranoza, oligomery, decylo oktylo glikozydy: 1–2%</w:t>
      </w:r>
    </w:p>
    <w:p>
      <w:r>
        <w:t>• wodorotlenek sodu: 1–2%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