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CCX</w:t>
      </w:r>
    </w:p>
    <w:p>
      <w:r>
        <w:rPr>
          <w:sz w:val="22"/>
        </w:rPr>
        <w:t>Arkusz składników produktu</w:t>
      </w:r>
    </w:p>
    <w:p>
      <w:r>
        <w:rPr>
          <w:sz w:val="22"/>
        </w:rPr>
        <w:t>Nazwa produktu: CCX</w:t>
      </w:r>
    </w:p>
    <w:p>
      <w:r>
        <w:rPr>
          <w:sz w:val="22"/>
        </w:rPr>
      </w:r>
    </w:p>
    <w:p>
      <w:r>
        <w:rPr>
          <w:sz w:val="22"/>
        </w:rPr>
        <w:t>Skład jakościowy:</w:t>
      </w:r>
    </w:p>
    <w:p>
      <w:r>
        <w:rPr>
          <w:sz w:val="22"/>
        </w:rPr>
        <w:t>• Benzyna ciężka obrabiana wodorem (ropa naftowa) (CAS 64742-48-9): 50–100%</w:t>
      </w:r>
    </w:p>
    <w:p>
      <w:r>
        <w:rPr>
          <w:sz w:val="22"/>
        </w:rPr>
      </w:r>
    </w:p>
    <w:p>
      <w:r>
        <w:rPr>
          <w:sz w:val="22"/>
        </w:rPr>
        <w:t>Informacja o zawartości zgodnie z Rozporządzeniem (WE) 648/2004:</w:t>
      </w:r>
    </w:p>
    <w:p>
      <w:r>
        <w:rPr>
          <w:sz w:val="22"/>
        </w:rPr>
        <w:t>• Węglowodory alifatyczne: ≥30%</w:t>
      </w:r>
    </w:p>
    <w:p>
      <w:r>
        <w:rPr>
          <w:sz w:val="22"/>
        </w:rPr>
      </w:r>
    </w:p>
    <w:p>
      <w:r>
        <w:rPr>
          <w:sz w:val="22"/>
        </w:rPr>
        <w:t>Klasyfikacja produktu:</w:t>
      </w:r>
    </w:p>
    <w:p>
      <w:r>
        <w:rPr>
          <w:sz w:val="22"/>
        </w:rPr>
        <w:t>Produkt nie jest sklasyfikowany zgodnie z Rozporządzeniem (WE) nr 1272/2008 (CLP).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