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Marder Stop</w:t>
      </w:r>
    </w:p>
    <w:p>
      <w:r>
        <w:t>Sporządzono zgodnie z Rozporządzeniem (UE) nr 259/2012.</w:t>
      </w:r>
    </w:p>
    <w:p>
      <w:r>
        <w:t>Składniki w kolejności malejącej zawartości wg SDS:</w:t>
      </w:r>
    </w:p>
    <w:p>
      <w:r>
        <w:t>• Propan-2-ol: ≤2,5%</w:t>
      </w:r>
    </w:p>
    <w:p>
      <w:r>
        <w:t>• Geraniol: 0,1–&lt;1%</w:t>
      </w:r>
    </w:p>
    <w:p>
      <w:r>
        <w:t>• 1,2-benzoizotiazol-3(2H)-on: &lt;0,025%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