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Ceramic Wax</w:t>
      </w:r>
    </w:p>
    <w:p>
      <w:r>
        <w:t>Na podstawie dostępnej karty charakterystyki brak jest danych potwierdzających spełnienie wymagań biodegradowalności zgodnie z Rozporządzeniem (WE) nr 648/2004. Produkt nie zawiera deklarowanych środków powierzchniowo czynnych lub brak jest ich jednoznacznego wskazania w SDS, dlatego pełna deklaracja biodegradowalności wymaga danych od producenta surowców.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