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CIP FLUX</w:t>
      </w:r>
    </w:p>
    <w:p>
      <w:r>
        <w:t>Opracowano na podstawie karty charakterystyki z 24.01.2023 r.</w:t>
      </w:r>
    </w:p>
    <w:p>
      <w:r>
        <w:t>Składniki w kolejności udziału:</w:t>
      </w:r>
    </w:p>
    <w:p>
      <w:r>
        <w:t>• Wodorotlenek sodu: 15–30%</w:t>
      </w:r>
    </w:p>
    <w:p>
      <w:r>
        <w:t>• Aktywny chlor uwalniany przez podchloryn sodu: 5–5,5 g/100 g</w:t>
      </w:r>
    </w:p>
    <w:p>
      <w:r>
        <w:t>• Kwas 2‑fosfonobutano‑1,2,4‑trikarboksylowy (fosfonian): &lt;5%</w:t>
      </w:r>
    </w:p>
    <w:p>
      <w:r>
        <w:t>• Krzemian sodu: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