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GOLD WASH</w:t>
      </w:r>
    </w:p>
    <w:p>
      <w:r>
        <w:t>Na podstawie karty charakterystyki GOLD WASH.</w:t>
      </w:r>
    </w:p>
    <w:p>
      <w:r>
        <w:t>W sekcji 12.2 wskazano, że produkt ulega biodegradacji, a środki powierzchniowo czynne zawarte w mieszaninie są zgodne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