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Leather Care 422</w:t>
      </w:r>
    </w:p>
    <w:p>
      <w:r>
        <w:t>Sporządzono zgodnie z Rozporządzeniem (UE) nr 259/2012.</w:t>
      </w:r>
    </w:p>
    <w:p>
      <w:r>
        <w:t>Składniki w kolejności malejącej zawartości wg SDS:</w:t>
      </w:r>
    </w:p>
    <w:p>
      <w:r>
        <w:t>• Isotridecanol etoksylowany (7–12 EO) 2,5–10%</w:t>
      </w:r>
    </w:p>
    <w:p>
      <w:r>
        <w:t>• Isotridecanol etoksylowany (2–6 EO) 2,5–10%</w:t>
      </w:r>
    </w:p>
    <w:p>
      <w:r>
        <w:t>• Sól sodowa 1-tlenku pirydyno-2-tiolu ≤1%</w:t>
      </w:r>
    </w:p>
    <w:p>
      <w:r>
        <w:t>• Izoeugenol ≤1%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