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DEKLARACJA BIODEGRADOWALNOŚCI – USUWA BETON</w:t>
      </w:r>
    </w:p>
    <w:p>
      <w:r>
        <w:t>Na podstawie karty charakterystyki produktu USUWA BETON.</w:t>
      </w:r>
    </w:p>
    <w:p>
      <w:r>
        <w:t>Karta charakterystyki nie zawiera deklaracji zgodności środków powierzchniowo czynnych z Rozporządzeniem (WE) nr 648/2004 ani oświadczenia o biodegradowalności produktu.</w:t>
      </w:r>
    </w:p>
    <w:p>
      <w:r>
        <w:t>W sekcji 12.2 wskazano, że główna substancja jest substancją nieorganiczną nieulegającą biodegradacji.</w:t>
      </w:r>
    </w:p>
    <w:p>
      <w:r>
        <w:t>W związku z tym nie ma podstaw do deklarowania biodegradowalności całego produktu wyłącznie na podstawie SDS.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