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CZYSTA KOSTKA</w:t>
      </w:r>
    </w:p>
    <w:p>
      <w:r>
        <w:t>Sporządzono zgodnie z Rozporządzeniem (UE) nr 259/2012.</w:t>
      </w:r>
    </w:p>
    <w:p>
      <w:r>
        <w:t>Składniki w kolejności malejącej zawartości:</w:t>
      </w:r>
    </w:p>
    <w:p>
      <w:r>
        <w:t>• Wodorotlenek sodu: 5–15%</w:t>
      </w:r>
    </w:p>
    <w:p>
      <w:r>
        <w:t>• Alkilopoliglukozyd C8-C10 (niejonowe środki powierzchniowo czynne): 5–15%</w:t>
      </w:r>
    </w:p>
    <w:p>
      <w:r>
        <w:t>• Wersenian czterosodowy (EDTA):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