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OZI</w:t>
      </w:r>
    </w:p>
    <w:p>
      <w:r>
        <w:t>Na podstawie karty charakterystyki OZI, aktualizacja 31.03.2026.</w:t>
      </w:r>
    </w:p>
    <w:p>
      <w:r>
        <w:t>W sekcji 12.2 podano, że mieszanina ulega biodegradacji oraz że środki powierzchniowo czynne zawarte w produkcie są zgodne z kryteriami podatności na biodegradację określonymi w Rozporządzeniu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