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Rim Cleaner</w:t>
      </w:r>
    </w:p>
    <w:p>
      <w:r>
        <w:t>Produkt: Rim Cleaner</w:t>
      </w:r>
    </w:p>
    <w:p/>
    <w:p>
      <w:r>
        <w:t>Skład zgodny z Rozporządzeniem (WE) nr 648/2004:</w:t>
      </w:r>
    </w:p>
    <w:p>
      <w:r>
        <w:t>• Niejonowe środki powierzchniowo czynne: &lt;5%</w:t>
      </w:r>
    </w:p>
    <w:p>
      <w:r>
        <w:t>• Anionowe środki powierzchniowo czynne: &lt;5%</w:t>
      </w:r>
    </w:p>
    <w:p>
      <w:r>
        <w:t>• Kompozycje zapachowe (d-limonen, Citral, Citronellol): &lt;5%</w:t>
      </w:r>
    </w:p>
    <w:p>
      <w:r>
        <w:t>• Środki konserwujące: sól sodowa 1‑tlenku pirydyno‑2‑tiolu, Benzisothiazolinone</w:t>
      </w:r>
    </w:p>
    <w:p>
      <w:r>
        <w:t>• Barwnik</w:t>
      </w:r>
    </w:p>
    <w:p/>
    <w:p>
      <w:r>
        <w:t>Główne składniki:</w:t>
      </w:r>
    </w:p>
    <w:p>
      <w:r>
        <w:t>• Merkaptooctan sodu: 10–25%</w:t>
      </w:r>
    </w:p>
    <w:p>
      <w:r>
        <w:t>• Kwas amidosiarkowy(VI): ≤2,5%</w:t>
      </w:r>
    </w:p>
    <w:p>
      <w:r>
        <w:t>• Kwas cytrynowy: ≤2,5%</w:t>
      </w:r>
    </w:p>
    <w:p>
      <w:r>
        <w:t>• Alkilopoliglukozyd C8–C10: ≤2,5%</w:t>
      </w:r>
    </w:p>
    <w:p>
      <w:r>
        <w:t>• Kwas 2‑fosfonobutano‑1,2,4‑trikarboksylowy: ≤1%</w:t>
      </w:r>
    </w:p>
    <w:p>
      <w:r>
        <w:t>• Sól sodowa 1‑tlenku pirydyno‑2‑tiolu: ≤1%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