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Dirt APC</w:t>
      </w:r>
    </w:p>
    <w:p>
      <w:r>
        <w:t>Opracowano zgodnie z Rozporządzeniem (UE) nr 259/2012.</w:t>
      </w:r>
    </w:p>
    <w:p>
      <w:r>
        <w:t>Anionowe środki powierzchniowo czynne &lt;5%</w:t>
      </w:r>
    </w:p>
    <w:p>
      <w:r>
        <w:t>Niejonowe środki powierzchniowo czynne &lt;5%</w:t>
      </w:r>
    </w:p>
    <w:p>
      <w:r>
        <w:t>Krzemian sodu &lt;5%</w:t>
      </w:r>
    </w:p>
    <w:p>
      <w:r>
        <w:t>EDTA i jego sole &lt;5%</w:t>
      </w:r>
    </w:p>
    <w:p>
      <w:r>
        <w:t>Kompozycja zapachowa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