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ORANGE SHAMPOO</w:t>
      </w:r>
    </w:p>
    <w:p>
      <w:r>
        <w:t>Skład zgodnie z Rozporządzeniem (WE) 648/2004:</w:t>
      </w:r>
    </w:p>
    <w:p>
      <w:r>
        <w:t>• anionowe środki powierzchniowo czynne &gt;30%</w:t>
      </w:r>
    </w:p>
    <w:p>
      <w:r>
        <w:t>• niejonowe środki powierzchniowo czynne 5–15%</w:t>
      </w:r>
    </w:p>
    <w:p>
      <w:r>
        <w:t>• kompozycje zapachowe</w:t>
      </w:r>
    </w:p>
    <w:p>
      <w:r>
        <w:t>UFI: G579-W05E-000U-JGC4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