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Interior Cleaner 418</w:t>
      </w:r>
    </w:p>
    <w:p>
      <w:r>
        <w:t>Produkt: Interior Cleaner 418</w:t>
      </w:r>
    </w:p>
    <w:p/>
    <w:p>
      <w:r>
        <w:t>DEKLARACJA</w:t>
      </w:r>
    </w:p>
    <w:p/>
    <w:p>
      <w:r>
        <w:t>Na podstawie karty charakterystyki producent deklaruje, że środki powierzchniowo czynne zawarte w produkcie spełniają kryteria podatności na biodegradację określone w Rozporządzeniu (WE) nr 648/2004 dotyczącym detergentów.</w:t>
      </w:r>
    </w:p>
    <w:p/>
    <w:p>
      <w:r>
        <w:t>Dane potwierdzające zgodność są dostępne dla właściwych organów państw członkowskich i mogą zostać udostępnione na ich wniosek lub na wniosek producenta detergentów.</w:t>
      </w:r>
    </w:p>
    <w:p/>
    <w:p>
      <w:r>
        <w:t>Deklarację opracowano na podstawie karty charakterystyki produktu Interior Cleaner 418 (aktualizacja: 17.10.2022).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