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Marder Stop</w:t>
      </w:r>
    </w:p>
    <w:p>
      <w:r>
        <w:t>Na podstawie karty charakterystyki produktu Marder Stop.</w:t>
      </w:r>
    </w:p>
    <w:p>
      <w:r>
        <w:t>Karta charakterystyki nie zawiera deklaracji spełnienia kryteriów biodegradowalności zgodnie z Rozporządzeniem (WE) 648/2004.</w:t>
      </w:r>
    </w:p>
    <w:p>
      <w:r>
        <w:t>Nie można wystawić formalnej deklaracji biodegradowalności produktu wyłącznie na podstawie dostarczonej SDS.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